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294FD2" w14:textId="2F62B837" w:rsidR="006D46CC" w:rsidRPr="00F24D6C" w:rsidRDefault="006D46CC" w:rsidP="006D46CC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4D6C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STOHN Studies</w:t>
      </w:r>
    </w:p>
    <w:p w14:paraId="18E7F253" w14:textId="77777777" w:rsidR="006D46CC" w:rsidRPr="006F0131" w:rsidRDefault="006D46CC" w:rsidP="006D46CC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9895" w:type="dxa"/>
        <w:jc w:val="center"/>
        <w:tblLook w:val="04A0" w:firstRow="1" w:lastRow="0" w:firstColumn="1" w:lastColumn="0" w:noHBand="0" w:noVBand="1"/>
      </w:tblPr>
      <w:tblGrid>
        <w:gridCol w:w="1345"/>
        <w:gridCol w:w="3967"/>
        <w:gridCol w:w="1439"/>
        <w:gridCol w:w="1089"/>
        <w:gridCol w:w="2055"/>
      </w:tblGrid>
      <w:tr w:rsidR="006D46CC" w:rsidRPr="00944A4F" w14:paraId="6772F1B3" w14:textId="77777777" w:rsidTr="006F1800">
        <w:trPr>
          <w:trHeight w:val="188"/>
          <w:jc w:val="center"/>
        </w:trPr>
        <w:tc>
          <w:tcPr>
            <w:tcW w:w="1345" w:type="dxa"/>
            <w:shd w:val="clear" w:color="auto" w:fill="F2CEED" w:themeFill="accent5" w:themeFillTint="33"/>
          </w:tcPr>
          <w:p w14:paraId="15481520" w14:textId="77777777" w:rsidR="006D46CC" w:rsidRPr="00DA35D5" w:rsidRDefault="006D46CC" w:rsidP="006D46C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Study Number</w:t>
            </w: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 xml:space="preserve">1 </w:t>
            </w: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(Year)</w:t>
            </w:r>
          </w:p>
        </w:tc>
        <w:tc>
          <w:tcPr>
            <w:tcW w:w="3967" w:type="dxa"/>
            <w:shd w:val="clear" w:color="auto" w:fill="F2CEED" w:themeFill="accent5" w:themeFillTint="33"/>
          </w:tcPr>
          <w:p w14:paraId="095F1E3B" w14:textId="77777777" w:rsidR="006D46CC" w:rsidRPr="00DA35D5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Study Title (Conducted from 2008 to 2025)</w:t>
            </w:r>
          </w:p>
        </w:tc>
        <w:tc>
          <w:tcPr>
            <w:tcW w:w="1439" w:type="dxa"/>
            <w:shd w:val="clear" w:color="auto" w:fill="F2CEED" w:themeFill="accent5" w:themeFillTint="33"/>
          </w:tcPr>
          <w:p w14:paraId="21177A5A" w14:textId="77777777" w:rsidR="006D46CC" w:rsidRPr="00DA35D5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Practitioners (n=2,295)</w:t>
            </w: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4,5</w:t>
            </w:r>
          </w:p>
        </w:tc>
        <w:tc>
          <w:tcPr>
            <w:tcW w:w="1089" w:type="dxa"/>
            <w:shd w:val="clear" w:color="auto" w:fill="F2CEED" w:themeFill="accent5" w:themeFillTint="33"/>
          </w:tcPr>
          <w:p w14:paraId="1CBD9C06" w14:textId="77777777" w:rsidR="006D46CC" w:rsidRPr="00DA35D5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Patients (n=2,588)</w:t>
            </w: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2055" w:type="dxa"/>
            <w:shd w:val="clear" w:color="auto" w:fill="F2CEED" w:themeFill="accent5" w:themeFillTint="33"/>
          </w:tcPr>
          <w:p w14:paraId="3117570A" w14:textId="77777777" w:rsidR="006D46CC" w:rsidRPr="00DA35D5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Clinical Topic (ADA CDT Category)</w:t>
            </w: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6D46CC" w:rsidRPr="00944A4F" w14:paraId="7AC7797C" w14:textId="77777777" w:rsidTr="006F1800">
        <w:trPr>
          <w:jc w:val="center"/>
        </w:trPr>
        <w:tc>
          <w:tcPr>
            <w:tcW w:w="5312" w:type="dxa"/>
            <w:gridSpan w:val="2"/>
          </w:tcPr>
          <w:p w14:paraId="3FAF3C6A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39" w:type="dxa"/>
          </w:tcPr>
          <w:p w14:paraId="40AD86EC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</w:tcPr>
          <w:p w14:paraId="5C1DF276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</w:tcPr>
          <w:p w14:paraId="03EB73D6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6D46CC" w:rsidRPr="00944A4F" w14:paraId="140B942E" w14:textId="77777777" w:rsidTr="006F1800">
        <w:trPr>
          <w:jc w:val="center"/>
        </w:trPr>
        <w:tc>
          <w:tcPr>
            <w:tcW w:w="9895" w:type="dxa"/>
            <w:gridSpan w:val="5"/>
            <w:shd w:val="clear" w:color="auto" w:fill="F2CEED" w:themeFill="accent5" w:themeFillTint="33"/>
          </w:tcPr>
          <w:p w14:paraId="518C7259" w14:textId="77777777" w:rsidR="006D46CC" w:rsidRPr="00DA35D5" w:rsidRDefault="006D46CC" w:rsidP="006D46CC">
            <w:pPr>
              <w:spacing w:after="0" w:line="240" w:lineRule="auto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Clinical / Observational Studies</w:t>
            </w:r>
          </w:p>
        </w:tc>
      </w:tr>
      <w:tr w:rsidR="006D46CC" w:rsidRPr="00944A4F" w14:paraId="40915D2B" w14:textId="77777777" w:rsidTr="006F1800">
        <w:trPr>
          <w:jc w:val="center"/>
        </w:trPr>
        <w:tc>
          <w:tcPr>
            <w:tcW w:w="1345" w:type="dxa"/>
          </w:tcPr>
          <w:p w14:paraId="1B406601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</w:t>
            </w:r>
          </w:p>
          <w:p w14:paraId="1095FE2C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(2009-2010)</w:t>
            </w:r>
          </w:p>
        </w:tc>
        <w:tc>
          <w:tcPr>
            <w:tcW w:w="3967" w:type="dxa"/>
          </w:tcPr>
          <w:p w14:paraId="65448E3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Prevalence of Undiagnosed Diabetes Among Patients in Community-Based Dental Practices </w:t>
            </w:r>
          </w:p>
        </w:tc>
        <w:tc>
          <w:tcPr>
            <w:tcW w:w="1439" w:type="dxa"/>
          </w:tcPr>
          <w:p w14:paraId="1211931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4745173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2055" w:type="dxa"/>
          </w:tcPr>
          <w:p w14:paraId="4098CA3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Diagnostic / Adjunctive</w:t>
            </w:r>
          </w:p>
        </w:tc>
      </w:tr>
      <w:tr w:rsidR="006D46CC" w:rsidRPr="00944A4F" w14:paraId="7EECD2C2" w14:textId="77777777" w:rsidTr="006F1800">
        <w:trPr>
          <w:jc w:val="center"/>
        </w:trPr>
        <w:tc>
          <w:tcPr>
            <w:tcW w:w="1345" w:type="dxa"/>
          </w:tcPr>
          <w:p w14:paraId="23B00A46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5</w:t>
            </w:r>
          </w:p>
          <w:p w14:paraId="3386D62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(2010-2011)</w:t>
            </w:r>
          </w:p>
        </w:tc>
        <w:tc>
          <w:tcPr>
            <w:tcW w:w="3967" w:type="dxa"/>
          </w:tcPr>
          <w:p w14:paraId="56D17A64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Assessment of Dentists' and Patients' Willingness to Participate in Finger-Stick Diabetes Study</w:t>
            </w:r>
          </w:p>
        </w:tc>
        <w:tc>
          <w:tcPr>
            <w:tcW w:w="1439" w:type="dxa"/>
          </w:tcPr>
          <w:p w14:paraId="3D51365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089" w:type="dxa"/>
          </w:tcPr>
          <w:p w14:paraId="6F9E12D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2055" w:type="dxa"/>
          </w:tcPr>
          <w:p w14:paraId="1E4602F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Diagnostic</w:t>
            </w:r>
          </w:p>
        </w:tc>
      </w:tr>
      <w:tr w:rsidR="006D46CC" w:rsidRPr="00944A4F" w14:paraId="137E4BA3" w14:textId="77777777" w:rsidTr="006F1800">
        <w:trPr>
          <w:jc w:val="center"/>
        </w:trPr>
        <w:tc>
          <w:tcPr>
            <w:tcW w:w="1345" w:type="dxa"/>
          </w:tcPr>
          <w:p w14:paraId="5E5E678B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6B71E2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(2011)</w:t>
            </w:r>
          </w:p>
        </w:tc>
        <w:tc>
          <w:tcPr>
            <w:tcW w:w="3967" w:type="dxa"/>
          </w:tcPr>
          <w:p w14:paraId="1A0BC1A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Undiagnosed Diabetes in Dental Offices (Phase II)</w:t>
            </w:r>
          </w:p>
        </w:tc>
        <w:tc>
          <w:tcPr>
            <w:tcW w:w="1439" w:type="dxa"/>
          </w:tcPr>
          <w:p w14:paraId="50106866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2081F74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2055" w:type="dxa"/>
          </w:tcPr>
          <w:p w14:paraId="34F76F8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Diagnostic</w:t>
            </w:r>
          </w:p>
        </w:tc>
      </w:tr>
      <w:tr w:rsidR="006D46CC" w:rsidRPr="00944A4F" w14:paraId="11941924" w14:textId="77777777" w:rsidTr="006F1800">
        <w:trPr>
          <w:jc w:val="center"/>
        </w:trPr>
        <w:tc>
          <w:tcPr>
            <w:tcW w:w="1345" w:type="dxa"/>
          </w:tcPr>
          <w:p w14:paraId="6F286B87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7</w:t>
            </w:r>
          </w:p>
          <w:p w14:paraId="7CB20689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(2011-2012)</w:t>
            </w:r>
          </w:p>
        </w:tc>
        <w:tc>
          <w:tcPr>
            <w:tcW w:w="3967" w:type="dxa"/>
          </w:tcPr>
          <w:p w14:paraId="54B1B692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In-Clinic Dissemination of the Tobacco Cessation Toolkits (Phase II)</w:t>
            </w:r>
          </w:p>
        </w:tc>
        <w:tc>
          <w:tcPr>
            <w:tcW w:w="1439" w:type="dxa"/>
          </w:tcPr>
          <w:p w14:paraId="40B5E22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89" w:type="dxa"/>
          </w:tcPr>
          <w:p w14:paraId="1CB2716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04B43CFB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20DA3F17" w14:textId="77777777" w:rsidTr="006F1800">
        <w:trPr>
          <w:jc w:val="center"/>
        </w:trPr>
        <w:tc>
          <w:tcPr>
            <w:tcW w:w="1345" w:type="dxa"/>
          </w:tcPr>
          <w:p w14:paraId="79953724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12</w:t>
            </w:r>
          </w:p>
          <w:p w14:paraId="6C7161B4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(2017-2018)</w:t>
            </w:r>
          </w:p>
        </w:tc>
        <w:tc>
          <w:tcPr>
            <w:tcW w:w="3967" w:type="dxa"/>
          </w:tcPr>
          <w:p w14:paraId="54BE195F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Tooth Fairy Study- The South Texas Oral Health Network Collaboration</w:t>
            </w:r>
          </w:p>
        </w:tc>
        <w:tc>
          <w:tcPr>
            <w:tcW w:w="1439" w:type="dxa"/>
          </w:tcPr>
          <w:p w14:paraId="1BE02968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  <w:highlight w:val="yellow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89" w:type="dxa"/>
          </w:tcPr>
          <w:p w14:paraId="01A130B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055" w:type="dxa"/>
          </w:tcPr>
          <w:p w14:paraId="1FD74762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7D3630FC" w14:textId="77777777" w:rsidTr="006F1800">
        <w:trPr>
          <w:jc w:val="center"/>
        </w:trPr>
        <w:tc>
          <w:tcPr>
            <w:tcW w:w="1345" w:type="dxa"/>
          </w:tcPr>
          <w:p w14:paraId="6FB31514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17</w:t>
            </w:r>
          </w:p>
          <w:p w14:paraId="443C9FE8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(2021-2022)</w:t>
            </w:r>
          </w:p>
        </w:tc>
        <w:tc>
          <w:tcPr>
            <w:tcW w:w="3967" w:type="dxa"/>
          </w:tcPr>
          <w:p w14:paraId="64CF5E45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Implementation of Electronic Cigarette Cessation Program in Dental Practices</w:t>
            </w:r>
          </w:p>
        </w:tc>
        <w:tc>
          <w:tcPr>
            <w:tcW w:w="1439" w:type="dxa"/>
          </w:tcPr>
          <w:p w14:paraId="026078D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089" w:type="dxa"/>
          </w:tcPr>
          <w:p w14:paraId="4A08F95E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055" w:type="dxa"/>
          </w:tcPr>
          <w:p w14:paraId="5553718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52BAB3F7" w14:textId="77777777" w:rsidTr="006F1800">
        <w:trPr>
          <w:jc w:val="center"/>
        </w:trPr>
        <w:tc>
          <w:tcPr>
            <w:tcW w:w="1345" w:type="dxa"/>
          </w:tcPr>
          <w:p w14:paraId="23022C8F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23</w:t>
            </w:r>
          </w:p>
          <w:p w14:paraId="25742AEA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3967" w:type="dxa"/>
          </w:tcPr>
          <w:p w14:paraId="749F18FD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Assessing Dental Practitioners' Training, Knowledge, and Confidence Regarding Abscesses with Incision and Drainage Procedures: A South Texas Oral Health Network Study</w:t>
            </w:r>
          </w:p>
        </w:tc>
        <w:tc>
          <w:tcPr>
            <w:tcW w:w="1439" w:type="dxa"/>
          </w:tcPr>
          <w:p w14:paraId="168E94C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1089" w:type="dxa"/>
          </w:tcPr>
          <w:p w14:paraId="76EE5B4D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31317DF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Endodontics / Adjunctive General Services</w:t>
            </w:r>
          </w:p>
        </w:tc>
      </w:tr>
      <w:tr w:rsidR="006D46CC" w:rsidRPr="00944A4F" w14:paraId="5F65391D" w14:textId="77777777" w:rsidTr="006F1800">
        <w:trPr>
          <w:jc w:val="center"/>
        </w:trPr>
        <w:tc>
          <w:tcPr>
            <w:tcW w:w="1345" w:type="dxa"/>
          </w:tcPr>
          <w:p w14:paraId="5F96E3E5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26</w:t>
            </w:r>
          </w:p>
          <w:p w14:paraId="3AB1A7E0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(2023-2024)</w:t>
            </w:r>
          </w:p>
        </w:tc>
        <w:tc>
          <w:tcPr>
            <w:tcW w:w="3967" w:type="dxa"/>
          </w:tcPr>
          <w:p w14:paraId="4C82147D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Maxillary Frenum Attachment and Early Childhood Caries</w:t>
            </w:r>
          </w:p>
        </w:tc>
        <w:tc>
          <w:tcPr>
            <w:tcW w:w="1439" w:type="dxa"/>
          </w:tcPr>
          <w:p w14:paraId="3558F0A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89" w:type="dxa"/>
          </w:tcPr>
          <w:p w14:paraId="3014159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319</w:t>
            </w:r>
          </w:p>
        </w:tc>
        <w:tc>
          <w:tcPr>
            <w:tcW w:w="2055" w:type="dxa"/>
          </w:tcPr>
          <w:p w14:paraId="0D8C6E0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Restorative / Preventive</w:t>
            </w:r>
          </w:p>
        </w:tc>
      </w:tr>
      <w:tr w:rsidR="006D46CC" w:rsidRPr="00944A4F" w14:paraId="18E0AE64" w14:textId="77777777" w:rsidTr="006F1800">
        <w:trPr>
          <w:jc w:val="center"/>
        </w:trPr>
        <w:tc>
          <w:tcPr>
            <w:tcW w:w="1345" w:type="dxa"/>
          </w:tcPr>
          <w:p w14:paraId="494CE713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33</w:t>
            </w: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649A01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(2025-2027)</w:t>
            </w:r>
          </w:p>
        </w:tc>
        <w:tc>
          <w:tcPr>
            <w:tcW w:w="3967" w:type="dxa"/>
          </w:tcPr>
          <w:p w14:paraId="718E6FAF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Practitioner Approach to Oral Appliance Therapy for Obstructive Sleep Apnea (PAOSA)</w:t>
            </w:r>
          </w:p>
        </w:tc>
        <w:tc>
          <w:tcPr>
            <w:tcW w:w="1439" w:type="dxa"/>
          </w:tcPr>
          <w:p w14:paraId="005F7FA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89" w:type="dxa"/>
          </w:tcPr>
          <w:p w14:paraId="6AB1769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2055" w:type="dxa"/>
          </w:tcPr>
          <w:p w14:paraId="351F9D4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Prosthodontics / Adjunctive General Services</w:t>
            </w:r>
          </w:p>
        </w:tc>
      </w:tr>
      <w:tr w:rsidR="006D46CC" w:rsidRPr="00944A4F" w14:paraId="13E59DFE" w14:textId="77777777" w:rsidTr="006F1800">
        <w:trPr>
          <w:jc w:val="center"/>
        </w:trPr>
        <w:tc>
          <w:tcPr>
            <w:tcW w:w="1345" w:type="dxa"/>
          </w:tcPr>
          <w:p w14:paraId="7E8EFBC1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34</w:t>
            </w:r>
          </w:p>
          <w:p w14:paraId="4E5D1B9D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(2025-2026)</w:t>
            </w:r>
          </w:p>
        </w:tc>
        <w:tc>
          <w:tcPr>
            <w:tcW w:w="3967" w:type="dxa"/>
          </w:tcPr>
          <w:p w14:paraId="64F943A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Bridging Oral and Nutritional Health: A Pilot Food Insecurity Initiative in Dental Clinics</w:t>
            </w:r>
          </w:p>
        </w:tc>
        <w:tc>
          <w:tcPr>
            <w:tcW w:w="1439" w:type="dxa"/>
          </w:tcPr>
          <w:p w14:paraId="49A553E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89" w:type="dxa"/>
          </w:tcPr>
          <w:p w14:paraId="6690B6E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2055" w:type="dxa"/>
          </w:tcPr>
          <w:p w14:paraId="58C4E08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Services/ Preventive</w:t>
            </w:r>
          </w:p>
        </w:tc>
      </w:tr>
      <w:tr w:rsidR="006D46CC" w:rsidRPr="00944A4F" w14:paraId="4BD4DDE6" w14:textId="77777777" w:rsidTr="006F1800">
        <w:trPr>
          <w:jc w:val="center"/>
        </w:trPr>
        <w:tc>
          <w:tcPr>
            <w:tcW w:w="9895" w:type="dxa"/>
            <w:gridSpan w:val="5"/>
            <w:shd w:val="clear" w:color="auto" w:fill="DAE9F7" w:themeFill="text2" w:themeFillTint="1A"/>
          </w:tcPr>
          <w:p w14:paraId="6AEAC6AD" w14:textId="77777777" w:rsidR="006D46CC" w:rsidRPr="00DA35D5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Mixed-Methods Studies /Secondary Data Analysis</w:t>
            </w:r>
          </w:p>
        </w:tc>
      </w:tr>
      <w:tr w:rsidR="006D46CC" w:rsidRPr="00944A4F" w14:paraId="7CE793B4" w14:textId="77777777" w:rsidTr="006F1800">
        <w:trPr>
          <w:jc w:val="center"/>
        </w:trPr>
        <w:tc>
          <w:tcPr>
            <w:tcW w:w="1345" w:type="dxa"/>
          </w:tcPr>
          <w:p w14:paraId="40518E8E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</w:t>
            </w:r>
          </w:p>
          <w:p w14:paraId="13D6BACD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(2008-2009)</w:t>
            </w:r>
          </w:p>
        </w:tc>
        <w:tc>
          <w:tcPr>
            <w:tcW w:w="3967" w:type="dxa"/>
          </w:tcPr>
          <w:p w14:paraId="2FC8FC7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Health Literacy Among Dental Patients (Phase I)</w:t>
            </w:r>
          </w:p>
        </w:tc>
        <w:tc>
          <w:tcPr>
            <w:tcW w:w="1439" w:type="dxa"/>
          </w:tcPr>
          <w:p w14:paraId="4C89A78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89" w:type="dxa"/>
          </w:tcPr>
          <w:p w14:paraId="57ED11D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246</w:t>
            </w:r>
          </w:p>
        </w:tc>
        <w:tc>
          <w:tcPr>
            <w:tcW w:w="2055" w:type="dxa"/>
          </w:tcPr>
          <w:p w14:paraId="3CD2C54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66280620" w14:textId="77777777" w:rsidTr="006F1800">
        <w:trPr>
          <w:jc w:val="center"/>
        </w:trPr>
        <w:tc>
          <w:tcPr>
            <w:tcW w:w="1345" w:type="dxa"/>
          </w:tcPr>
          <w:p w14:paraId="5B1A48D7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</w:t>
            </w:r>
          </w:p>
          <w:p w14:paraId="1A6941E4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(2009-2010)</w:t>
            </w:r>
          </w:p>
        </w:tc>
        <w:tc>
          <w:tcPr>
            <w:tcW w:w="3967" w:type="dxa"/>
          </w:tcPr>
          <w:p w14:paraId="53117CE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Health Literacy: Practitioner–Patient Communication (Phase II)</w:t>
            </w:r>
          </w:p>
        </w:tc>
        <w:tc>
          <w:tcPr>
            <w:tcW w:w="1439" w:type="dxa"/>
          </w:tcPr>
          <w:p w14:paraId="60F08E4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1089" w:type="dxa"/>
          </w:tcPr>
          <w:p w14:paraId="078FA2D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2C66286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23DC7B4A" w14:textId="77777777" w:rsidTr="006F1800">
        <w:trPr>
          <w:jc w:val="center"/>
        </w:trPr>
        <w:tc>
          <w:tcPr>
            <w:tcW w:w="1345" w:type="dxa"/>
          </w:tcPr>
          <w:p w14:paraId="287FE141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4</w:t>
            </w:r>
          </w:p>
          <w:p w14:paraId="4CF1361B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3967" w:type="dxa"/>
          </w:tcPr>
          <w:p w14:paraId="5CB58C30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Barriers, Solutions, and Resources for In-Office Tobacco Cessation Counseling (Phase I)</w:t>
            </w:r>
          </w:p>
        </w:tc>
        <w:tc>
          <w:tcPr>
            <w:tcW w:w="1439" w:type="dxa"/>
          </w:tcPr>
          <w:p w14:paraId="3BCFFA3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9" w:type="dxa"/>
          </w:tcPr>
          <w:p w14:paraId="34BF9FBF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366034F5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0E588284" w14:textId="77777777" w:rsidTr="006F1800">
        <w:trPr>
          <w:jc w:val="center"/>
        </w:trPr>
        <w:tc>
          <w:tcPr>
            <w:tcW w:w="1345" w:type="dxa"/>
          </w:tcPr>
          <w:p w14:paraId="5C728904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10</w:t>
            </w:r>
          </w:p>
          <w:p w14:paraId="30FF551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(2015-2016)</w:t>
            </w:r>
          </w:p>
        </w:tc>
        <w:tc>
          <w:tcPr>
            <w:tcW w:w="3967" w:type="dxa"/>
          </w:tcPr>
          <w:p w14:paraId="4E6F3542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Molar-Incisor </w:t>
            </w:r>
            <w:proofErr w:type="spellStart"/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Hypomineralization</w:t>
            </w:r>
            <w:proofErr w:type="spellEnd"/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in Texan Children</w:t>
            </w:r>
          </w:p>
        </w:tc>
        <w:tc>
          <w:tcPr>
            <w:tcW w:w="1439" w:type="dxa"/>
          </w:tcPr>
          <w:p w14:paraId="1B5AF4C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89" w:type="dxa"/>
          </w:tcPr>
          <w:p w14:paraId="0B6D3AEE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1212</w:t>
            </w:r>
          </w:p>
        </w:tc>
        <w:tc>
          <w:tcPr>
            <w:tcW w:w="2055" w:type="dxa"/>
          </w:tcPr>
          <w:p w14:paraId="787A7E9F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Restorative / Preventive</w:t>
            </w:r>
          </w:p>
        </w:tc>
      </w:tr>
      <w:tr w:rsidR="006D46CC" w:rsidRPr="00944A4F" w14:paraId="230D9ABD" w14:textId="77777777" w:rsidTr="006F1800">
        <w:trPr>
          <w:jc w:val="center"/>
        </w:trPr>
        <w:tc>
          <w:tcPr>
            <w:tcW w:w="1345" w:type="dxa"/>
          </w:tcPr>
          <w:p w14:paraId="7493B2E1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13</w:t>
            </w:r>
          </w:p>
          <w:p w14:paraId="61425307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(2018-2019)</w:t>
            </w:r>
          </w:p>
        </w:tc>
        <w:tc>
          <w:tcPr>
            <w:tcW w:w="3967" w:type="dxa"/>
          </w:tcPr>
          <w:p w14:paraId="487825F5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Development of a Mobile Application to Enhance Knowledge, Awareness, and Communication of Dry Mouth Amongst Dental Practitioners and Patients: A South Texas Oral Health Network Study</w:t>
            </w:r>
          </w:p>
        </w:tc>
        <w:tc>
          <w:tcPr>
            <w:tcW w:w="1439" w:type="dxa"/>
          </w:tcPr>
          <w:p w14:paraId="44550FD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089" w:type="dxa"/>
          </w:tcPr>
          <w:p w14:paraId="0E4E14F6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055" w:type="dxa"/>
          </w:tcPr>
          <w:p w14:paraId="6486D105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Diagnostic / Adjunctive General Services</w:t>
            </w:r>
          </w:p>
        </w:tc>
      </w:tr>
      <w:tr w:rsidR="006D46CC" w:rsidRPr="00944A4F" w14:paraId="37031894" w14:textId="77777777" w:rsidTr="006F1800">
        <w:trPr>
          <w:jc w:val="center"/>
        </w:trPr>
        <w:tc>
          <w:tcPr>
            <w:tcW w:w="1345" w:type="dxa"/>
          </w:tcPr>
          <w:p w14:paraId="5BF60A0B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14</w:t>
            </w:r>
          </w:p>
          <w:p w14:paraId="08EC297B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(2018-2019)</w:t>
            </w:r>
          </w:p>
        </w:tc>
        <w:tc>
          <w:tcPr>
            <w:tcW w:w="3967" w:type="dxa"/>
          </w:tcPr>
          <w:p w14:paraId="67001339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Perceptions and Awareness of E</w:t>
            </w:r>
            <w:r w:rsidRPr="00944A4F">
              <w:rPr>
                <w:rFonts w:ascii="Cambria Math" w:hAnsi="Cambria Math" w:cs="Cambria Math"/>
                <w:color w:val="000000" w:themeColor="text1"/>
                <w:sz w:val="20"/>
                <w:szCs w:val="20"/>
              </w:rPr>
              <w:t>‐</w:t>
            </w: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Cigarettes among South Texas Dentists, Patients, and Communities</w:t>
            </w:r>
          </w:p>
        </w:tc>
        <w:tc>
          <w:tcPr>
            <w:tcW w:w="1439" w:type="dxa"/>
          </w:tcPr>
          <w:p w14:paraId="08EE4CC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89" w:type="dxa"/>
          </w:tcPr>
          <w:p w14:paraId="39030976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055" w:type="dxa"/>
          </w:tcPr>
          <w:p w14:paraId="448ED80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1A6BD25D" w14:textId="77777777" w:rsidTr="006F1800">
        <w:trPr>
          <w:jc w:val="center"/>
        </w:trPr>
        <w:tc>
          <w:tcPr>
            <w:tcW w:w="1345" w:type="dxa"/>
          </w:tcPr>
          <w:p w14:paraId="0CD2C5E7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15</w:t>
            </w:r>
          </w:p>
          <w:p w14:paraId="0CFEE41F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(2019)</w:t>
            </w:r>
          </w:p>
        </w:tc>
        <w:tc>
          <w:tcPr>
            <w:tcW w:w="3967" w:type="dxa"/>
          </w:tcPr>
          <w:p w14:paraId="29822B64" w14:textId="77777777" w:rsidR="006D46CC" w:rsidRPr="00944A4F" w:rsidRDefault="006D46CC" w:rsidP="006D46CC">
            <w:pPr>
              <w:pStyle w:val="p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/>
                <w:color w:val="000000" w:themeColor="text1"/>
                <w:sz w:val="20"/>
                <w:szCs w:val="20"/>
              </w:rPr>
              <w:t>A Collaboration of Oral Health Practitioners and Community Members Develops Culturally Competent Health Promotion Materials About Probiotic Use to Improve Oral Health.</w:t>
            </w:r>
          </w:p>
        </w:tc>
        <w:tc>
          <w:tcPr>
            <w:tcW w:w="1439" w:type="dxa"/>
          </w:tcPr>
          <w:p w14:paraId="01C762A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089" w:type="dxa"/>
          </w:tcPr>
          <w:p w14:paraId="5920C43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055" w:type="dxa"/>
          </w:tcPr>
          <w:p w14:paraId="59151FA5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6EBFF98D" w14:textId="77777777" w:rsidTr="006F1800">
        <w:trPr>
          <w:jc w:val="center"/>
        </w:trPr>
        <w:tc>
          <w:tcPr>
            <w:tcW w:w="1345" w:type="dxa"/>
          </w:tcPr>
          <w:p w14:paraId="3571EFF6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27</w:t>
            </w:r>
          </w:p>
          <w:p w14:paraId="6F0F705A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(2024-2025)</w:t>
            </w:r>
          </w:p>
        </w:tc>
        <w:tc>
          <w:tcPr>
            <w:tcW w:w="3967" w:type="dxa"/>
          </w:tcPr>
          <w:p w14:paraId="3E56318B" w14:textId="77777777" w:rsidR="006D46CC" w:rsidRPr="00944A4F" w:rsidRDefault="006D46CC" w:rsidP="006D46CC">
            <w:pPr>
              <w:pStyle w:val="Default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 Practitioner and Community Collaborative Develops Patient-centered, Culturally Appropriate, Smokeless Tobacco Cessation Intervention Program.</w:t>
            </w:r>
          </w:p>
        </w:tc>
        <w:tc>
          <w:tcPr>
            <w:tcW w:w="1439" w:type="dxa"/>
          </w:tcPr>
          <w:p w14:paraId="0BB77D4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089" w:type="dxa"/>
          </w:tcPr>
          <w:p w14:paraId="194E208E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6543A28D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79A31743" w14:textId="77777777" w:rsidTr="006F1800">
        <w:trPr>
          <w:jc w:val="center"/>
        </w:trPr>
        <w:tc>
          <w:tcPr>
            <w:tcW w:w="9895" w:type="dxa"/>
            <w:gridSpan w:val="5"/>
            <w:shd w:val="clear" w:color="auto" w:fill="DAE9F7" w:themeFill="text2" w:themeFillTint="1A"/>
          </w:tcPr>
          <w:p w14:paraId="55D57980" w14:textId="77777777" w:rsidR="006D46CC" w:rsidRPr="00DA35D5" w:rsidRDefault="006D46CC" w:rsidP="006D46CC">
            <w:pPr>
              <w:spacing w:after="0" w:line="240" w:lineRule="auto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Cross-Sectional Surveys</w:t>
            </w:r>
          </w:p>
        </w:tc>
      </w:tr>
      <w:tr w:rsidR="006D46CC" w:rsidRPr="00944A4F" w14:paraId="2A14C52A" w14:textId="77777777" w:rsidTr="006F1800">
        <w:trPr>
          <w:jc w:val="center"/>
        </w:trPr>
        <w:tc>
          <w:tcPr>
            <w:tcW w:w="1345" w:type="dxa"/>
          </w:tcPr>
          <w:p w14:paraId="00C05789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lastRenderedPageBreak/>
              <w:t>8</w:t>
            </w:r>
          </w:p>
          <w:p w14:paraId="6DEACF59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(2012-2013)</w:t>
            </w:r>
          </w:p>
        </w:tc>
        <w:tc>
          <w:tcPr>
            <w:tcW w:w="3967" w:type="dxa"/>
          </w:tcPr>
          <w:p w14:paraId="64218C75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How concerns for bisphosphonate-induced osteonecrosis of the jaw affect clinical practice among dentists: a study from the South Texas Oral Health Network </w:t>
            </w:r>
          </w:p>
        </w:tc>
        <w:tc>
          <w:tcPr>
            <w:tcW w:w="1439" w:type="dxa"/>
          </w:tcPr>
          <w:p w14:paraId="761644EF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089" w:type="dxa"/>
          </w:tcPr>
          <w:p w14:paraId="4F5F7C4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1D2EDE5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&amp; Maxillofacial Surgery</w:t>
            </w:r>
          </w:p>
        </w:tc>
      </w:tr>
      <w:tr w:rsidR="006D46CC" w:rsidRPr="00944A4F" w14:paraId="4ED9DD57" w14:textId="77777777" w:rsidTr="006F1800">
        <w:trPr>
          <w:jc w:val="center"/>
        </w:trPr>
        <w:tc>
          <w:tcPr>
            <w:tcW w:w="1345" w:type="dxa"/>
          </w:tcPr>
          <w:p w14:paraId="79DCA503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9</w:t>
            </w:r>
          </w:p>
          <w:p w14:paraId="20B34C3E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(2014-2015)</w:t>
            </w:r>
          </w:p>
        </w:tc>
        <w:tc>
          <w:tcPr>
            <w:tcW w:w="3967" w:type="dxa"/>
          </w:tcPr>
          <w:p w14:paraId="1980AC6F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Knowledge Assessment of the Dental Community in Texas on the Role of Human Papillomavirus in Oropharyngeal Cancer</w:t>
            </w:r>
          </w:p>
        </w:tc>
        <w:tc>
          <w:tcPr>
            <w:tcW w:w="1439" w:type="dxa"/>
          </w:tcPr>
          <w:p w14:paraId="7863E3D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457</w:t>
            </w:r>
          </w:p>
        </w:tc>
        <w:tc>
          <w:tcPr>
            <w:tcW w:w="1089" w:type="dxa"/>
          </w:tcPr>
          <w:p w14:paraId="2B2937F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67554F8E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&amp; Maxillofacial Surgery</w:t>
            </w:r>
          </w:p>
        </w:tc>
      </w:tr>
      <w:tr w:rsidR="006D46CC" w:rsidRPr="00944A4F" w14:paraId="1D71EF67" w14:textId="77777777" w:rsidTr="006F1800">
        <w:trPr>
          <w:jc w:val="center"/>
        </w:trPr>
        <w:tc>
          <w:tcPr>
            <w:tcW w:w="1345" w:type="dxa"/>
          </w:tcPr>
          <w:p w14:paraId="170D3BE2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11</w:t>
            </w:r>
          </w:p>
          <w:p w14:paraId="71BF087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(2017)</w:t>
            </w:r>
          </w:p>
        </w:tc>
        <w:tc>
          <w:tcPr>
            <w:tcW w:w="3967" w:type="dxa"/>
          </w:tcPr>
          <w:p w14:paraId="48B3D1DC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To Floss or not to floss; that is the question</w:t>
            </w:r>
          </w:p>
        </w:tc>
        <w:tc>
          <w:tcPr>
            <w:tcW w:w="1439" w:type="dxa"/>
          </w:tcPr>
          <w:p w14:paraId="3586B3A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1089" w:type="dxa"/>
          </w:tcPr>
          <w:p w14:paraId="0BA7A3A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393E1329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37132CE9" w14:textId="77777777" w:rsidTr="006F1800">
        <w:trPr>
          <w:jc w:val="center"/>
        </w:trPr>
        <w:tc>
          <w:tcPr>
            <w:tcW w:w="1345" w:type="dxa"/>
          </w:tcPr>
          <w:p w14:paraId="36F9FE49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16</w:t>
            </w:r>
          </w:p>
          <w:p w14:paraId="2F9D156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(2020-2021)</w:t>
            </w:r>
          </w:p>
        </w:tc>
        <w:tc>
          <w:tcPr>
            <w:tcW w:w="3967" w:type="dxa"/>
          </w:tcPr>
          <w:p w14:paraId="384A026E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Response by Endodontists to the SARS-CoV-2 (COVID−19) Pandemic: An International Survey</w:t>
            </w:r>
          </w:p>
        </w:tc>
        <w:tc>
          <w:tcPr>
            <w:tcW w:w="1439" w:type="dxa"/>
          </w:tcPr>
          <w:p w14:paraId="0A4C07C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724</w:t>
            </w:r>
          </w:p>
        </w:tc>
        <w:tc>
          <w:tcPr>
            <w:tcW w:w="1089" w:type="dxa"/>
          </w:tcPr>
          <w:p w14:paraId="21D36AF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46BC0B88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59B800A1" w14:textId="77777777" w:rsidTr="006F1800">
        <w:trPr>
          <w:jc w:val="center"/>
        </w:trPr>
        <w:tc>
          <w:tcPr>
            <w:tcW w:w="1345" w:type="dxa"/>
          </w:tcPr>
          <w:p w14:paraId="75AEAB93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25</w:t>
            </w:r>
          </w:p>
          <w:p w14:paraId="48F92ACD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(2023-2024)</w:t>
            </w:r>
          </w:p>
        </w:tc>
        <w:tc>
          <w:tcPr>
            <w:tcW w:w="3967" w:type="dxa"/>
          </w:tcPr>
          <w:p w14:paraId="19EBD2D1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Attitudes and Behaviors of Smokeless Tobacco Use and Its Cessation Practices Among Dental Practitioners and the South Texas Community</w:t>
            </w:r>
          </w:p>
        </w:tc>
        <w:tc>
          <w:tcPr>
            <w:tcW w:w="1439" w:type="dxa"/>
          </w:tcPr>
          <w:p w14:paraId="0703555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89" w:type="dxa"/>
          </w:tcPr>
          <w:p w14:paraId="25ED09E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2055" w:type="dxa"/>
          </w:tcPr>
          <w:p w14:paraId="11A09D1C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34E246D1" w14:textId="77777777" w:rsidTr="006F1800">
        <w:trPr>
          <w:jc w:val="center"/>
        </w:trPr>
        <w:tc>
          <w:tcPr>
            <w:tcW w:w="1345" w:type="dxa"/>
          </w:tcPr>
          <w:p w14:paraId="02FD08F1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30</w:t>
            </w:r>
          </w:p>
          <w:p w14:paraId="404CC0F8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(2025)</w:t>
            </w:r>
          </w:p>
        </w:tc>
        <w:tc>
          <w:tcPr>
            <w:tcW w:w="3967" w:type="dxa"/>
          </w:tcPr>
          <w:p w14:paraId="5B93C582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Bruxism Knowledge, Attitudes, and Practice Questionnaire</w:t>
            </w:r>
          </w:p>
        </w:tc>
        <w:tc>
          <w:tcPr>
            <w:tcW w:w="1439" w:type="dxa"/>
          </w:tcPr>
          <w:p w14:paraId="4F0CEDC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219</w:t>
            </w:r>
          </w:p>
        </w:tc>
        <w:tc>
          <w:tcPr>
            <w:tcW w:w="1089" w:type="dxa"/>
          </w:tcPr>
          <w:p w14:paraId="3E0AFE8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46D357F6" w14:textId="77777777" w:rsidR="006D46CC" w:rsidRPr="00944A4F" w:rsidRDefault="006D46CC" w:rsidP="006D46CC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Diagnostic/ Restorative /Orthodontics</w:t>
            </w:r>
          </w:p>
        </w:tc>
      </w:tr>
      <w:tr w:rsidR="006D46CC" w:rsidRPr="00944A4F" w14:paraId="56F45A1B" w14:textId="77777777" w:rsidTr="006F1800">
        <w:trPr>
          <w:jc w:val="center"/>
        </w:trPr>
        <w:tc>
          <w:tcPr>
            <w:tcW w:w="9895" w:type="dxa"/>
            <w:gridSpan w:val="5"/>
            <w:shd w:val="clear" w:color="auto" w:fill="DAE9F7" w:themeFill="text2" w:themeFillTint="1A"/>
          </w:tcPr>
          <w:p w14:paraId="67C3A095" w14:textId="77777777" w:rsidR="006D46CC" w:rsidRPr="00DA35D5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DA35D5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</w:rPr>
              <w:t>Quick Poll Studies</w:t>
            </w:r>
          </w:p>
        </w:tc>
      </w:tr>
      <w:tr w:rsidR="006D46CC" w:rsidRPr="00944A4F" w14:paraId="1A965FAA" w14:textId="77777777" w:rsidTr="006F1800">
        <w:trPr>
          <w:jc w:val="center"/>
        </w:trPr>
        <w:tc>
          <w:tcPr>
            <w:tcW w:w="1345" w:type="dxa"/>
          </w:tcPr>
          <w:p w14:paraId="77319FD0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18</w:t>
            </w:r>
          </w:p>
          <w:p w14:paraId="45CCDEE1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(2021)</w:t>
            </w:r>
          </w:p>
        </w:tc>
        <w:tc>
          <w:tcPr>
            <w:tcW w:w="3967" w:type="dxa"/>
          </w:tcPr>
          <w:p w14:paraId="5F8F425E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Patient Hesitancy Returning to Dental Offices During COVID-19</w:t>
            </w:r>
          </w:p>
        </w:tc>
        <w:tc>
          <w:tcPr>
            <w:tcW w:w="1439" w:type="dxa"/>
          </w:tcPr>
          <w:p w14:paraId="15F1E7D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089" w:type="dxa"/>
          </w:tcPr>
          <w:p w14:paraId="7C57045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314E0EB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565E556D" w14:textId="77777777" w:rsidTr="006F1800">
        <w:trPr>
          <w:jc w:val="center"/>
        </w:trPr>
        <w:tc>
          <w:tcPr>
            <w:tcW w:w="1345" w:type="dxa"/>
          </w:tcPr>
          <w:p w14:paraId="15E0BB8D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19</w:t>
            </w:r>
          </w:p>
          <w:p w14:paraId="6987CBF0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(2021)</w:t>
            </w:r>
          </w:p>
        </w:tc>
        <w:tc>
          <w:tcPr>
            <w:tcW w:w="3967" w:type="dxa"/>
          </w:tcPr>
          <w:p w14:paraId="19A7AD7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Tooth Whitening Implications</w:t>
            </w:r>
          </w:p>
        </w:tc>
        <w:tc>
          <w:tcPr>
            <w:tcW w:w="1439" w:type="dxa"/>
          </w:tcPr>
          <w:p w14:paraId="50B6DB6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089" w:type="dxa"/>
          </w:tcPr>
          <w:p w14:paraId="120B5C6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58E4A36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Restorative</w:t>
            </w:r>
          </w:p>
        </w:tc>
      </w:tr>
      <w:tr w:rsidR="006D46CC" w:rsidRPr="00944A4F" w14:paraId="2A64CF0D" w14:textId="77777777" w:rsidTr="006F1800">
        <w:trPr>
          <w:jc w:val="center"/>
        </w:trPr>
        <w:tc>
          <w:tcPr>
            <w:tcW w:w="1345" w:type="dxa"/>
          </w:tcPr>
          <w:p w14:paraId="7C0025B7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20</w:t>
            </w:r>
          </w:p>
          <w:p w14:paraId="2CB3C5A2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(2021)</w:t>
            </w:r>
          </w:p>
        </w:tc>
        <w:tc>
          <w:tcPr>
            <w:tcW w:w="3967" w:type="dxa"/>
          </w:tcPr>
          <w:p w14:paraId="07B19DC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Silver Diamine Fluoride</w:t>
            </w:r>
          </w:p>
        </w:tc>
        <w:tc>
          <w:tcPr>
            <w:tcW w:w="1439" w:type="dxa"/>
          </w:tcPr>
          <w:p w14:paraId="43FE076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089" w:type="dxa"/>
          </w:tcPr>
          <w:p w14:paraId="036DB6EF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230FA62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4CB86DE8" w14:textId="77777777" w:rsidTr="006F1800">
        <w:trPr>
          <w:jc w:val="center"/>
        </w:trPr>
        <w:tc>
          <w:tcPr>
            <w:tcW w:w="1345" w:type="dxa"/>
          </w:tcPr>
          <w:p w14:paraId="7867ECC0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21</w:t>
            </w:r>
          </w:p>
          <w:p w14:paraId="45F28972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(2022)</w:t>
            </w:r>
          </w:p>
        </w:tc>
        <w:tc>
          <w:tcPr>
            <w:tcW w:w="3967" w:type="dxa"/>
          </w:tcPr>
          <w:p w14:paraId="048FB275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Cancer Practices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1</w:t>
            </w:r>
          </w:p>
        </w:tc>
        <w:tc>
          <w:tcPr>
            <w:tcW w:w="1439" w:type="dxa"/>
          </w:tcPr>
          <w:p w14:paraId="17BDF66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089" w:type="dxa"/>
          </w:tcPr>
          <w:p w14:paraId="6DA2238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003A040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&amp; Maxillofacial Surgery</w:t>
            </w:r>
          </w:p>
        </w:tc>
      </w:tr>
      <w:tr w:rsidR="006D46CC" w:rsidRPr="00944A4F" w14:paraId="2A7B492C" w14:textId="77777777" w:rsidTr="006F1800">
        <w:trPr>
          <w:jc w:val="center"/>
        </w:trPr>
        <w:tc>
          <w:tcPr>
            <w:tcW w:w="1345" w:type="dxa"/>
          </w:tcPr>
          <w:p w14:paraId="5A5D4B6D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22</w:t>
            </w:r>
          </w:p>
          <w:p w14:paraId="48237D46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(2022)</w:t>
            </w:r>
          </w:p>
        </w:tc>
        <w:tc>
          <w:tcPr>
            <w:tcW w:w="3967" w:type="dxa"/>
          </w:tcPr>
          <w:p w14:paraId="1489B6C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Smokeless Tobacco Practices</w:t>
            </w:r>
          </w:p>
        </w:tc>
        <w:tc>
          <w:tcPr>
            <w:tcW w:w="1439" w:type="dxa"/>
          </w:tcPr>
          <w:p w14:paraId="0234D92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89" w:type="dxa"/>
          </w:tcPr>
          <w:p w14:paraId="407BEBF0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</w:tcPr>
          <w:p w14:paraId="6D171B3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2F947494" w14:textId="77777777" w:rsidTr="006F1800">
        <w:trPr>
          <w:jc w:val="center"/>
        </w:trPr>
        <w:tc>
          <w:tcPr>
            <w:tcW w:w="1345" w:type="dxa"/>
          </w:tcPr>
          <w:p w14:paraId="56B2E823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24</w:t>
            </w:r>
          </w:p>
          <w:p w14:paraId="288067AC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(2023)</w:t>
            </w:r>
          </w:p>
        </w:tc>
        <w:tc>
          <w:tcPr>
            <w:tcW w:w="3967" w:type="dxa"/>
          </w:tcPr>
          <w:p w14:paraId="61160CF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Health and Violence Exposure</w:t>
            </w:r>
          </w:p>
        </w:tc>
        <w:tc>
          <w:tcPr>
            <w:tcW w:w="1439" w:type="dxa"/>
          </w:tcPr>
          <w:p w14:paraId="25FC7DF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089" w:type="dxa"/>
          </w:tcPr>
          <w:p w14:paraId="6279D1A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766C30AE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31A1AC7B" w14:textId="77777777" w:rsidTr="006F1800">
        <w:trPr>
          <w:jc w:val="center"/>
        </w:trPr>
        <w:tc>
          <w:tcPr>
            <w:tcW w:w="1345" w:type="dxa"/>
          </w:tcPr>
          <w:p w14:paraId="6D4924DC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28</w:t>
            </w:r>
          </w:p>
          <w:p w14:paraId="2A17F69F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(2024)</w:t>
            </w:r>
          </w:p>
        </w:tc>
        <w:tc>
          <w:tcPr>
            <w:tcW w:w="3967" w:type="dxa"/>
          </w:tcPr>
          <w:p w14:paraId="745CFE69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Cancer Practices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2</w:t>
            </w: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 (Follow-up)</w:t>
            </w:r>
          </w:p>
        </w:tc>
        <w:tc>
          <w:tcPr>
            <w:tcW w:w="1439" w:type="dxa"/>
          </w:tcPr>
          <w:p w14:paraId="2E98FB6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1089" w:type="dxa"/>
          </w:tcPr>
          <w:p w14:paraId="3DF08E08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55" w:type="dxa"/>
          </w:tcPr>
          <w:p w14:paraId="5085A1EC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Oral &amp; Maxillofacial Surgery</w:t>
            </w:r>
          </w:p>
        </w:tc>
      </w:tr>
      <w:tr w:rsidR="006D46CC" w:rsidRPr="00944A4F" w14:paraId="6B16D0A8" w14:textId="77777777" w:rsidTr="006F1800">
        <w:trPr>
          <w:jc w:val="center"/>
        </w:trPr>
        <w:tc>
          <w:tcPr>
            <w:tcW w:w="1345" w:type="dxa"/>
          </w:tcPr>
          <w:p w14:paraId="2262CB0B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29</w:t>
            </w:r>
          </w:p>
          <w:p w14:paraId="43142F1A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(2025)</w:t>
            </w:r>
          </w:p>
        </w:tc>
        <w:tc>
          <w:tcPr>
            <w:tcW w:w="3967" w:type="dxa"/>
          </w:tcPr>
          <w:p w14:paraId="785FC49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Immigrant and Refugee Population Oral Health</w:t>
            </w:r>
          </w:p>
        </w:tc>
        <w:tc>
          <w:tcPr>
            <w:tcW w:w="1439" w:type="dxa"/>
          </w:tcPr>
          <w:p w14:paraId="0D0503DD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089" w:type="dxa"/>
          </w:tcPr>
          <w:p w14:paraId="1471DB47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6EF5E9CA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56810160" w14:textId="77777777" w:rsidTr="006F1800">
        <w:trPr>
          <w:jc w:val="center"/>
        </w:trPr>
        <w:tc>
          <w:tcPr>
            <w:tcW w:w="1345" w:type="dxa"/>
          </w:tcPr>
          <w:p w14:paraId="654FBAFC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31</w:t>
            </w:r>
          </w:p>
          <w:p w14:paraId="3EC53C6C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(2025)</w:t>
            </w:r>
          </w:p>
        </w:tc>
        <w:tc>
          <w:tcPr>
            <w:tcW w:w="3967" w:type="dxa"/>
          </w:tcPr>
          <w:p w14:paraId="2FABE423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HPV Vaccination</w:t>
            </w:r>
          </w:p>
        </w:tc>
        <w:tc>
          <w:tcPr>
            <w:tcW w:w="1439" w:type="dxa"/>
          </w:tcPr>
          <w:p w14:paraId="705BD194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1089" w:type="dxa"/>
          </w:tcPr>
          <w:p w14:paraId="0D8403D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1C9335BB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Preventive</w:t>
            </w:r>
          </w:p>
        </w:tc>
      </w:tr>
      <w:tr w:rsidR="006D46CC" w:rsidRPr="00944A4F" w14:paraId="0D494113" w14:textId="77777777" w:rsidTr="006F1800">
        <w:trPr>
          <w:jc w:val="center"/>
        </w:trPr>
        <w:tc>
          <w:tcPr>
            <w:tcW w:w="1345" w:type="dxa"/>
          </w:tcPr>
          <w:p w14:paraId="2E1EB3CA" w14:textId="77777777" w:rsidR="006D46CC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32</w:t>
            </w:r>
          </w:p>
          <w:p w14:paraId="6AE42625" w14:textId="77777777" w:rsidR="006D46CC" w:rsidRPr="00944A4F" w:rsidRDefault="006D46CC" w:rsidP="006D46CC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(2025)</w:t>
            </w:r>
          </w:p>
        </w:tc>
        <w:tc>
          <w:tcPr>
            <w:tcW w:w="3967" w:type="dxa"/>
          </w:tcPr>
          <w:p w14:paraId="4D984A82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Adverse Childhood Experiences (ACEs)</w:t>
            </w:r>
          </w:p>
        </w:tc>
        <w:tc>
          <w:tcPr>
            <w:tcW w:w="1439" w:type="dxa"/>
          </w:tcPr>
          <w:p w14:paraId="666F3ACF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089" w:type="dxa"/>
          </w:tcPr>
          <w:p w14:paraId="5430126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055" w:type="dxa"/>
          </w:tcPr>
          <w:p w14:paraId="533E04C1" w14:textId="77777777" w:rsidR="006D46CC" w:rsidRPr="00944A4F" w:rsidRDefault="006D46CC" w:rsidP="006D46CC">
            <w:pPr>
              <w:spacing w:after="0" w:line="240" w:lineRule="auto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944A4F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>Adjunctive General Services</w:t>
            </w:r>
          </w:p>
        </w:tc>
      </w:tr>
      <w:tr w:rsidR="006D46CC" w:rsidRPr="00944A4F" w14:paraId="2CB47EB5" w14:textId="77777777" w:rsidTr="006F1800">
        <w:trPr>
          <w:jc w:val="center"/>
        </w:trPr>
        <w:tc>
          <w:tcPr>
            <w:tcW w:w="9895" w:type="dxa"/>
            <w:gridSpan w:val="5"/>
          </w:tcPr>
          <w:p w14:paraId="4E522B07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1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Study numbers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and year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 are assigned sequentially based on study initiation and reflect the chronological progression of STOHN studies from 2008 to 2025; numbering does not imply study design or category.</w:t>
            </w:r>
          </w:p>
          <w:p w14:paraId="41497D11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</w:p>
          <w:p w14:paraId="3B4FC0A1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2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Clinical topics were categorized using the American Dental Association Current Dental Terminology (CDT) treatment classifications, including Diagnostic, Preventive, Restorative, Endodontics, Prosthodontics, Oral and Maxillofacial Surgery, and Adjunctive General Services.</w:t>
            </w:r>
          </w:p>
          <w:p w14:paraId="7D9DB6F4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</w:p>
          <w:p w14:paraId="2680A002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3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Studies reporting no patient enrollment (indicated by “–”) reflect designs that did not involve direct patient participation by design, including practitioner surveys, knowledge/attitude assessments, and rapid-response “quick poll” studies conducted among dental professionals.</w:t>
            </w:r>
          </w:p>
          <w:p w14:paraId="2F873FD3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</w:p>
          <w:p w14:paraId="72A845FC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4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Studies reporting no practitioner enrollment reflect analyses conducted using secondary data sources or patient-level datasets where practitioner participation was not required.</w:t>
            </w:r>
          </w:p>
          <w:p w14:paraId="3C91C790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</w:p>
          <w:p w14:paraId="3FA1B242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5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For several survey-based studies, recruitment extended beyond STOHN membership to include practitioners from external professional organizations and networks to obtain broader input; respondents were invited to join STOHN following participation.</w:t>
            </w:r>
          </w:p>
          <w:p w14:paraId="39406ABD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</w:p>
          <w:p w14:paraId="774BA98D" w14:textId="77777777" w:rsidR="006D46CC" w:rsidRPr="00944A4F" w:rsidRDefault="006D46CC" w:rsidP="006D46CC">
            <w:pPr>
              <w:pStyle w:val="NormalWeb"/>
              <w:spacing w:before="0" w:beforeAutospacing="0" w:after="0" w:afterAutospacing="0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944A4F">
              <w:rPr>
                <w:rFonts w:ascii="Arial Narrow" w:hAnsi="Arial Narrow" w:cs="Arial"/>
                <w:color w:val="000000"/>
                <w:sz w:val="16"/>
                <w:szCs w:val="16"/>
                <w:vertAlign w:val="superscript"/>
              </w:rPr>
              <w:t>6</w:t>
            </w:r>
            <w:r w:rsidRPr="00944A4F">
              <w:rPr>
                <w:rFonts w:ascii="Arial Narrow" w:hAnsi="Arial Narrow" w:cs="Arial"/>
                <w:color w:val="000000"/>
                <w:sz w:val="16"/>
                <w:szCs w:val="16"/>
              </w:rPr>
              <w:t>Practitioner and patient counts reflect study-specific participation and are not mutually exclusive, as some individuals participated in multiple studies. Totals represent aggregate counts across studies conducted from 2008 to 2025.</w:t>
            </w:r>
          </w:p>
        </w:tc>
      </w:tr>
    </w:tbl>
    <w:p w14:paraId="236DC298" w14:textId="77777777" w:rsidR="006D46CC" w:rsidRPr="00944A4F" w:rsidRDefault="006D46CC" w:rsidP="006D46CC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288BB82D" w14:textId="77777777" w:rsidR="00EC13A5" w:rsidRDefault="00EC13A5"/>
    <w:sectPr w:rsidR="00EC13A5" w:rsidSect="006D46CC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27457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CEF6B8" w14:textId="77777777" w:rsidR="006D46CC" w:rsidRDefault="006D46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BBED8" w14:textId="77777777" w:rsidR="006D46CC" w:rsidRDefault="006D46CC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CC"/>
    <w:rsid w:val="00022EC3"/>
    <w:rsid w:val="0002671D"/>
    <w:rsid w:val="0004187C"/>
    <w:rsid w:val="000504B3"/>
    <w:rsid w:val="00063B7C"/>
    <w:rsid w:val="00076537"/>
    <w:rsid w:val="000B15F9"/>
    <w:rsid w:val="000B2059"/>
    <w:rsid w:val="000B543A"/>
    <w:rsid w:val="000C0438"/>
    <w:rsid w:val="000D77E1"/>
    <w:rsid w:val="000D78E5"/>
    <w:rsid w:val="000E060B"/>
    <w:rsid w:val="000E268F"/>
    <w:rsid w:val="00102B62"/>
    <w:rsid w:val="001053E8"/>
    <w:rsid w:val="00107D44"/>
    <w:rsid w:val="0011483C"/>
    <w:rsid w:val="001154C6"/>
    <w:rsid w:val="001167E7"/>
    <w:rsid w:val="00117DB5"/>
    <w:rsid w:val="00134968"/>
    <w:rsid w:val="001466FA"/>
    <w:rsid w:val="00151018"/>
    <w:rsid w:val="00172AEB"/>
    <w:rsid w:val="00181996"/>
    <w:rsid w:val="001A03A5"/>
    <w:rsid w:val="001A0D6D"/>
    <w:rsid w:val="001A710D"/>
    <w:rsid w:val="001B4780"/>
    <w:rsid w:val="001B610B"/>
    <w:rsid w:val="001D202E"/>
    <w:rsid w:val="001D4022"/>
    <w:rsid w:val="001E57FB"/>
    <w:rsid w:val="001E6E23"/>
    <w:rsid w:val="00224B5D"/>
    <w:rsid w:val="002332E0"/>
    <w:rsid w:val="00241CA4"/>
    <w:rsid w:val="00243F4A"/>
    <w:rsid w:val="0024643E"/>
    <w:rsid w:val="0025608A"/>
    <w:rsid w:val="00262F2E"/>
    <w:rsid w:val="00270B53"/>
    <w:rsid w:val="00270EBA"/>
    <w:rsid w:val="0027659A"/>
    <w:rsid w:val="00276A5F"/>
    <w:rsid w:val="00290D00"/>
    <w:rsid w:val="0029109E"/>
    <w:rsid w:val="002C51E6"/>
    <w:rsid w:val="002C776A"/>
    <w:rsid w:val="002D4BEB"/>
    <w:rsid w:val="002D5778"/>
    <w:rsid w:val="002E4B54"/>
    <w:rsid w:val="00312DEE"/>
    <w:rsid w:val="00317785"/>
    <w:rsid w:val="003219CD"/>
    <w:rsid w:val="0032534C"/>
    <w:rsid w:val="00326D76"/>
    <w:rsid w:val="00334A97"/>
    <w:rsid w:val="00354D38"/>
    <w:rsid w:val="00356F21"/>
    <w:rsid w:val="00357EC4"/>
    <w:rsid w:val="00360D68"/>
    <w:rsid w:val="00361110"/>
    <w:rsid w:val="00364345"/>
    <w:rsid w:val="0036571D"/>
    <w:rsid w:val="0037149B"/>
    <w:rsid w:val="00372172"/>
    <w:rsid w:val="00372A71"/>
    <w:rsid w:val="00376015"/>
    <w:rsid w:val="00396381"/>
    <w:rsid w:val="003A7D31"/>
    <w:rsid w:val="003B26AB"/>
    <w:rsid w:val="003C5C87"/>
    <w:rsid w:val="003D0A3D"/>
    <w:rsid w:val="003D0CEE"/>
    <w:rsid w:val="003E15D5"/>
    <w:rsid w:val="003E4284"/>
    <w:rsid w:val="003F11BE"/>
    <w:rsid w:val="004134AC"/>
    <w:rsid w:val="004276F6"/>
    <w:rsid w:val="004575C8"/>
    <w:rsid w:val="004622B5"/>
    <w:rsid w:val="0046599B"/>
    <w:rsid w:val="0046730A"/>
    <w:rsid w:val="00470516"/>
    <w:rsid w:val="00472643"/>
    <w:rsid w:val="004970CD"/>
    <w:rsid w:val="004A089E"/>
    <w:rsid w:val="004B5F80"/>
    <w:rsid w:val="004C184F"/>
    <w:rsid w:val="004C69B5"/>
    <w:rsid w:val="004D3803"/>
    <w:rsid w:val="004F0B09"/>
    <w:rsid w:val="004F5400"/>
    <w:rsid w:val="0050341F"/>
    <w:rsid w:val="005250FD"/>
    <w:rsid w:val="005308C2"/>
    <w:rsid w:val="00534ACF"/>
    <w:rsid w:val="00535A6F"/>
    <w:rsid w:val="00536A02"/>
    <w:rsid w:val="00540220"/>
    <w:rsid w:val="00552E8F"/>
    <w:rsid w:val="005576DC"/>
    <w:rsid w:val="00570B0A"/>
    <w:rsid w:val="00582FC0"/>
    <w:rsid w:val="00591B54"/>
    <w:rsid w:val="005A29A1"/>
    <w:rsid w:val="005B3561"/>
    <w:rsid w:val="005C3A11"/>
    <w:rsid w:val="005C79A5"/>
    <w:rsid w:val="005D725C"/>
    <w:rsid w:val="005F498C"/>
    <w:rsid w:val="005F6393"/>
    <w:rsid w:val="00604984"/>
    <w:rsid w:val="00617049"/>
    <w:rsid w:val="006207E3"/>
    <w:rsid w:val="00636E6B"/>
    <w:rsid w:val="0064212E"/>
    <w:rsid w:val="0064334C"/>
    <w:rsid w:val="006435EC"/>
    <w:rsid w:val="0067476B"/>
    <w:rsid w:val="00680DEC"/>
    <w:rsid w:val="00681931"/>
    <w:rsid w:val="00683057"/>
    <w:rsid w:val="006A445B"/>
    <w:rsid w:val="006B32CB"/>
    <w:rsid w:val="006C1A93"/>
    <w:rsid w:val="006D2522"/>
    <w:rsid w:val="006D46CC"/>
    <w:rsid w:val="006D6790"/>
    <w:rsid w:val="006E5E82"/>
    <w:rsid w:val="00704FB6"/>
    <w:rsid w:val="007155B1"/>
    <w:rsid w:val="0071565A"/>
    <w:rsid w:val="00733D4F"/>
    <w:rsid w:val="007349D6"/>
    <w:rsid w:val="007450A8"/>
    <w:rsid w:val="00757068"/>
    <w:rsid w:val="007620B6"/>
    <w:rsid w:val="007722D3"/>
    <w:rsid w:val="007B74BB"/>
    <w:rsid w:val="007C3F63"/>
    <w:rsid w:val="007C6502"/>
    <w:rsid w:val="007F4132"/>
    <w:rsid w:val="007F6718"/>
    <w:rsid w:val="00800461"/>
    <w:rsid w:val="00803BFF"/>
    <w:rsid w:val="00814DE1"/>
    <w:rsid w:val="00826C0D"/>
    <w:rsid w:val="00826F3E"/>
    <w:rsid w:val="008307B2"/>
    <w:rsid w:val="00833184"/>
    <w:rsid w:val="008359D6"/>
    <w:rsid w:val="00836678"/>
    <w:rsid w:val="00842E91"/>
    <w:rsid w:val="00854F93"/>
    <w:rsid w:val="0087433E"/>
    <w:rsid w:val="00877C67"/>
    <w:rsid w:val="008843CA"/>
    <w:rsid w:val="008A4451"/>
    <w:rsid w:val="008B7939"/>
    <w:rsid w:val="008C0420"/>
    <w:rsid w:val="008C107C"/>
    <w:rsid w:val="008C6D87"/>
    <w:rsid w:val="008D4862"/>
    <w:rsid w:val="008D4E3D"/>
    <w:rsid w:val="008D4EA3"/>
    <w:rsid w:val="00940AC6"/>
    <w:rsid w:val="009436EA"/>
    <w:rsid w:val="00952CA4"/>
    <w:rsid w:val="009546D0"/>
    <w:rsid w:val="009640CB"/>
    <w:rsid w:val="00971362"/>
    <w:rsid w:val="00976616"/>
    <w:rsid w:val="00977AD0"/>
    <w:rsid w:val="009853A8"/>
    <w:rsid w:val="0098552C"/>
    <w:rsid w:val="009A24EF"/>
    <w:rsid w:val="009B60C5"/>
    <w:rsid w:val="009C3639"/>
    <w:rsid w:val="009D370C"/>
    <w:rsid w:val="009E7B56"/>
    <w:rsid w:val="009F5BDA"/>
    <w:rsid w:val="00A0242A"/>
    <w:rsid w:val="00A23B26"/>
    <w:rsid w:val="00A25E0E"/>
    <w:rsid w:val="00A26F7C"/>
    <w:rsid w:val="00A27698"/>
    <w:rsid w:val="00A31BFC"/>
    <w:rsid w:val="00A52524"/>
    <w:rsid w:val="00A54C94"/>
    <w:rsid w:val="00A54D34"/>
    <w:rsid w:val="00A57379"/>
    <w:rsid w:val="00A607C4"/>
    <w:rsid w:val="00A614AF"/>
    <w:rsid w:val="00A67803"/>
    <w:rsid w:val="00A73985"/>
    <w:rsid w:val="00A946E7"/>
    <w:rsid w:val="00AA0316"/>
    <w:rsid w:val="00AA0321"/>
    <w:rsid w:val="00AA3AA9"/>
    <w:rsid w:val="00AA5F3A"/>
    <w:rsid w:val="00AB7409"/>
    <w:rsid w:val="00AC1398"/>
    <w:rsid w:val="00AC3366"/>
    <w:rsid w:val="00AC62E9"/>
    <w:rsid w:val="00AD2E1D"/>
    <w:rsid w:val="00AE51D7"/>
    <w:rsid w:val="00AF5895"/>
    <w:rsid w:val="00AF5CBD"/>
    <w:rsid w:val="00B07162"/>
    <w:rsid w:val="00B1690D"/>
    <w:rsid w:val="00B31F53"/>
    <w:rsid w:val="00B60A1D"/>
    <w:rsid w:val="00B9115A"/>
    <w:rsid w:val="00B9312F"/>
    <w:rsid w:val="00BB0B89"/>
    <w:rsid w:val="00BB53B0"/>
    <w:rsid w:val="00BC1D4D"/>
    <w:rsid w:val="00BC23FD"/>
    <w:rsid w:val="00BC6860"/>
    <w:rsid w:val="00BD36CB"/>
    <w:rsid w:val="00BE1E34"/>
    <w:rsid w:val="00BE47BE"/>
    <w:rsid w:val="00BF5612"/>
    <w:rsid w:val="00C10052"/>
    <w:rsid w:val="00C17C3B"/>
    <w:rsid w:val="00C230C7"/>
    <w:rsid w:val="00C23C80"/>
    <w:rsid w:val="00C44A76"/>
    <w:rsid w:val="00C54642"/>
    <w:rsid w:val="00C56452"/>
    <w:rsid w:val="00C654B1"/>
    <w:rsid w:val="00C71B12"/>
    <w:rsid w:val="00C758D6"/>
    <w:rsid w:val="00C832A8"/>
    <w:rsid w:val="00C83749"/>
    <w:rsid w:val="00CA4853"/>
    <w:rsid w:val="00CB5ABF"/>
    <w:rsid w:val="00CB7AC4"/>
    <w:rsid w:val="00CC0999"/>
    <w:rsid w:val="00CC1B1D"/>
    <w:rsid w:val="00CE249A"/>
    <w:rsid w:val="00CE5825"/>
    <w:rsid w:val="00CE735E"/>
    <w:rsid w:val="00CF430C"/>
    <w:rsid w:val="00CF6F67"/>
    <w:rsid w:val="00D03541"/>
    <w:rsid w:val="00D03B5C"/>
    <w:rsid w:val="00D101AC"/>
    <w:rsid w:val="00D150E5"/>
    <w:rsid w:val="00D54153"/>
    <w:rsid w:val="00D575DE"/>
    <w:rsid w:val="00D62B40"/>
    <w:rsid w:val="00D62BF5"/>
    <w:rsid w:val="00D85D4D"/>
    <w:rsid w:val="00D90DC4"/>
    <w:rsid w:val="00D97C32"/>
    <w:rsid w:val="00DA084F"/>
    <w:rsid w:val="00DA4FD7"/>
    <w:rsid w:val="00DB1ACE"/>
    <w:rsid w:val="00DB7A6B"/>
    <w:rsid w:val="00DC42D1"/>
    <w:rsid w:val="00DE43FF"/>
    <w:rsid w:val="00E00255"/>
    <w:rsid w:val="00E105C7"/>
    <w:rsid w:val="00E1360E"/>
    <w:rsid w:val="00E265F5"/>
    <w:rsid w:val="00E30EAC"/>
    <w:rsid w:val="00E33D23"/>
    <w:rsid w:val="00E54443"/>
    <w:rsid w:val="00E54ACE"/>
    <w:rsid w:val="00E74FBD"/>
    <w:rsid w:val="00E76734"/>
    <w:rsid w:val="00E83471"/>
    <w:rsid w:val="00E856D2"/>
    <w:rsid w:val="00E93878"/>
    <w:rsid w:val="00EA6E82"/>
    <w:rsid w:val="00EB5FD3"/>
    <w:rsid w:val="00EB7126"/>
    <w:rsid w:val="00EC13A5"/>
    <w:rsid w:val="00EC1E08"/>
    <w:rsid w:val="00ED7DBA"/>
    <w:rsid w:val="00EF2D0F"/>
    <w:rsid w:val="00F1552A"/>
    <w:rsid w:val="00F25734"/>
    <w:rsid w:val="00F30B51"/>
    <w:rsid w:val="00F43945"/>
    <w:rsid w:val="00F47081"/>
    <w:rsid w:val="00F71DCE"/>
    <w:rsid w:val="00F82040"/>
    <w:rsid w:val="00F921B7"/>
    <w:rsid w:val="00F94153"/>
    <w:rsid w:val="00FB5C79"/>
    <w:rsid w:val="00FD0273"/>
    <w:rsid w:val="00FD171E"/>
    <w:rsid w:val="00FD32BC"/>
    <w:rsid w:val="00FD32D3"/>
    <w:rsid w:val="00FE2335"/>
    <w:rsid w:val="00FE304F"/>
    <w:rsid w:val="00FF08DA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85404A"/>
  <w15:chartTrackingRefBased/>
  <w15:docId w15:val="{61D987BF-5E16-9E42-9812-33018362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CC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6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6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6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6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6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6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6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6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6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6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6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4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6C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4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6C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4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6C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46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6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6C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D4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6CC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6D46C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6D46CC"/>
    <w:pPr>
      <w:spacing w:after="0" w:line="240" w:lineRule="auto"/>
    </w:pPr>
    <w:rPr>
      <w:rFonts w:ascii="Arial" w:eastAsia="Times New Roman" w:hAnsi="Arial" w:cs="Arial"/>
      <w:color w:val="2D2D2D"/>
      <w:sz w:val="23"/>
      <w:szCs w:val="23"/>
    </w:rPr>
  </w:style>
  <w:style w:type="paragraph" w:customStyle="1" w:styleId="Default">
    <w:name w:val="Default"/>
    <w:rsid w:val="006D46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857</Words>
  <Characters>4889</Characters>
  <Application>Microsoft Office Word</Application>
  <DocSecurity>0</DocSecurity>
  <Lines>40</Lines>
  <Paragraphs>11</Paragraphs>
  <ScaleCrop>false</ScaleCrop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Mungia, Rahma</dc:creator>
  <cp:keywords/>
  <dc:description/>
  <cp:lastModifiedBy>Mungia, Rahma</cp:lastModifiedBy>
  <cp:revision>1</cp:revision>
  <dcterms:created xsi:type="dcterms:W3CDTF">2026-09-22T02:32:00Z</dcterms:created>
  <dcterms:modified xsi:type="dcterms:W3CDTF">2026-09-22T02:34:00Z</dcterms:modified>
</cp:coreProperties>
</file>